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考町科技官网暨 AI 工具平台 V1 产品与技术规划书</w:t>
      </w:r>
    </w:p>
    <w:p>
      <w:r>
        <w:t>版本：V1.1</w:t>
      </w:r>
    </w:p>
    <w:p>
      <w:r>
        <w:t>日期：2026-09-08</w:t>
      </w:r>
    </w:p>
    <w:p>
      <w:r>
        <w:t>品牌：考町科技 / KAOTINGS</w:t>
      </w:r>
    </w:p>
    <w:p>
      <w:r>
        <w:t>项目根目录：E:\RD\Kaotings\www_site</w:t>
      </w:r>
    </w:p>
    <w:p>
      <w:r>
        <w:t>用途：产品范围确认、技术实施、阶段验收及 Codex 开发依据。</w:t>
      </w:r>
    </w:p>
    <w:p>
      <w:pPr>
        <w:pStyle w:val="Heading1"/>
      </w:pPr>
      <w:r>
        <w:t>1. 文档基线与执行原则</w:t>
      </w:r>
    </w:p>
    <w:p>
      <w:r>
        <w:t>本版将注册、登录、普通用户、VIP 用户、管理员、账户中心、TTS 历史和额度管理正式纳入 V1，取代此前将用户体系放到后续阶段的安排。官网定位、品牌风格、结构化 CMS、独立 TTS 工具、现有推理 API 复用、安全代理、部署边界及先审计后分阶段开发的方向继续保留。</w:t>
      </w:r>
    </w:p>
    <w:p>
      <w:r>
        <w:t>来源说明：本文件依据《技术选型建议》原对话可读取的已确认规划及本次 V1.1 要求重建。原 V1.0 DOCX/Markdown 文件正文未能取得，故不宣称逐字保留或完成原文件逐项差异核对。本文对执行所需的状态机、接口、额度一致性等作了明确补充；未确认的参数在第 15 章列出。</w:t>
      </w:r>
    </w:p>
    <w:p>
      <w:pPr>
        <w:pStyle w:val="Heading2"/>
      </w:pPr>
      <w:r>
        <w:t>1.1 强制约束</w:t>
      </w:r>
    </w:p>
    <w:p>
      <w:r>
        <w:t>• 唯一项目根目录为 E:\RD\Kaotings\www_site；该路径为本次用户新建并指定的 Git 仓库，取代此前的 kts_site 路径约束；不从其他工程自动迁移或覆盖文件。</w:t>
      </w:r>
    </w:p>
    <w:p>
      <w:r>
        <w:t>• 先审计当前目录、版本控制、已有页面和 TTS 接口，再确定新增及重构位置。现有子目录与业务资产不得因新目录建议被删除或强制重排。</w:t>
      </w:r>
    </w:p>
    <w:p>
      <w:r>
        <w:t>• 官网首先展示蓝牙周边、音频与智能硬件；AI/TTS 属于 AI Lab。</w:t>
      </w:r>
    </w:p>
    <w:p>
      <w:r>
        <w:t>• 保留已打通的 TTS 服务，由业务层适配调用；网站改造不包含推理模型重写。</w:t>
      </w:r>
    </w:p>
    <w:p>
      <w:r>
        <w:t>• 用户 Role 与会员 Plan 必须分离：role=user/admin，plan=free/vip。禁止设计 role=vip。</w:t>
      </w:r>
    </w:p>
    <w:p>
      <w:r>
        <w:t>• V1 必须交付可用用户闭环，不能以预留字段或静态界面替代注册、登录、历史、额度和管理功能。</w:t>
      </w:r>
    </w:p>
    <w:p>
      <w:r>
        <w:t>• 本文中的路径与接口是目标规划；现状、版本及性能均需审计和测试确认，不视为已有实现。</w:t>
      </w:r>
    </w:p>
    <w:p>
      <w:pPr>
        <w:pStyle w:val="Heading2"/>
      </w:pPr>
      <w:r>
        <w:t>1.2 V1.1 变更映射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项目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V1.1 要求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对应章节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用户体系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注册、登录、退出、账户状态与个人中心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3、5、6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权限与会员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Role/Plan 分离，VIP 生效与到期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5、8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验证扩展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邮箱和手机验证字段、挑战流程与服务适配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6、8、9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TTS 用户闭环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任务归属、历史、再次播放、下载、额度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8、10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管理后台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用户、套餐状态、额度、任务和使用量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5、9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工程交付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认证优先于 TTS 正式接入，新增安全与一致性验收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13、14</w:t>
            </w:r>
          </w:p>
        </w:tc>
      </w:tr>
    </w:tbl>
    <w:p>
      <w:pPr>
        <w:spacing w:after="20"/>
      </w:pPr>
    </w:p>
    <w:p>
      <w:pPr>
        <w:pStyle w:val="Heading1"/>
      </w:pPr>
      <w:r>
        <w:t>2. 产品定位与目标</w:t>
      </w:r>
    </w:p>
    <w:p>
      <w:r>
        <w:t>考町科技首先是一家蓝牙周边、音频及智能硬件技术公司。官网承担品牌展示、产品介绍、技术能力表达和客户联系；AI 工具平台承载可实际使用的在线能力，V1 从文本转语音开始。</w:t>
      </w:r>
    </w:p>
    <w:p>
      <w:r>
        <w:t>首页应使访客迅速理解公司做什么、有哪些产品、如何联系；TTS 工具应使用户完成从注册登录到生成、保存、回放和下载的完整流程；后台应使运营人员独立维护产品内容和基础用户权益。</w:t>
      </w:r>
    </w:p>
    <w:p>
      <w:r>
        <w:t>V1 的完成目标是“公司官网可展示、产品内容可维护、TTS 可使用、用户数据有归属、权限和成本可控制、系统可部署维护”。不以页面数量或装饰复杂度作为完成标准。</w:t>
      </w:r>
    </w:p>
    <w:p>
      <w:pPr>
        <w:pStyle w:val="Heading1"/>
      </w:pPr>
      <w:r>
        <w:t>3. V1 范围与信息架构</w:t>
      </w:r>
    </w:p>
    <w:p>
      <w:pPr>
        <w:pStyle w:val="Heading2"/>
      </w:pPr>
      <w:r>
        <w:t>3.1 正式交付范围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31"/>
        <w:gridCol w:w="4831"/>
      </w:tblGrid>
      <w:tr>
        <w:trPr>
          <w:cantSplit/>
          <w:tblHeader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模块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V1 必须交付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官网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首页、产品中心、产品详情、技术能力展示、关于我们、联系我们、基础 SEO、响应式布局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CMS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产品、媒体、公司信息、联系方式、首页精选、SEO；草稿、预览、发布、下架、排序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AI Lab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首页轻量入口；TTS 独立工作台；未来工具入口结构可扩展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认证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注册、登录、退出、密码安全存储、会话、账户启停、验证状态预留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账户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基本资料、验证状态、会员状态、有效期、额度、TTS 历史入口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TTS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文本、字数、音色、支持的参数、提交状态、错误恢复、历史、回放、下载、额度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管理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用户查询与禁用、VIP 设置与到期、额度调整、TTS 任务及使用统计、操作审计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平台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HTTPS、安全代理、限流、私有音频存储、数据库迁移、备份、日志与部署说明</w:t>
            </w:r>
          </w:p>
        </w:tc>
      </w:tr>
    </w:tbl>
    <w:p>
      <w:pPr>
        <w:spacing w:after="20"/>
      </w:pPr>
    </w:p>
    <w:p>
      <w:pPr>
        <w:pStyle w:val="Heading2"/>
      </w:pPr>
      <w:r>
        <w:t>3.2 页面与路由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路由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页面用途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访问要求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公司首页，产品为主体，AI Lab 轻量入口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/products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产品分类、列表与精选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公开；只展示已发布内容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/products/[slug]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统一模板产品详情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公开；草稿仅授权预览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/#technology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Bluetooth、Audio、Embedded、AI 技术说明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V1 默认首页锚点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/about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公司介绍与能力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/contact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正式联系方式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/tts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文本转语音工作台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可浏览；生成、历史、音频访问须登录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/login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邮箱与密码登录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未登录用户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/register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邮箱与密码注册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未登录用户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/account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资料、会员、额度、历史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当前登录用户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/admin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业务管理入口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role=admin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/admin/users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用户与会员、额度管理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role=admin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/admin/tts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TTS 任务、使用与失败情况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role=admin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/cms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内容管理后台，具体挂载方式由审计确定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获授权 CMS 管理员</w:t>
            </w:r>
          </w:p>
        </w:tc>
      </w:tr>
    </w:tbl>
    <w:p>
      <w:pPr>
        <w:spacing w:after="20"/>
      </w:pPr>
    </w:p>
    <w:p>
      <w:r>
        <w:t>AI Lab 在 V1 可直接连接 /tts，无需为单个工具强制增加空的聚合页。新闻、案例、招聘、解决方案独立栏目、第三方登录、在线支付、自动订阅续费、开放 API Key、多租户、复杂权限系统、自由拖拽建站、Kubernetes 和复杂 GPU 调度不列入 V1 必交付。保留后续扩展位置，不构建空壳功能。</w:t>
      </w:r>
    </w:p>
    <w:p>
      <w:r>
        <w:t>普通用户账户并非后续功能。邮箱验证码、手机短信验证的真实发送渠道与强制验证可后置；手机号登录、短信登录及自助忘记密码流程在渠道接入后启用，不能显示虚假的发送成功。</w:t>
      </w:r>
    </w:p>
    <w:p>
      <w:pPr>
        <w:pStyle w:val="Heading1"/>
      </w:pPr>
      <w:r>
        <w:t>4. 品牌与视觉设计规范</w:t>
      </w:r>
    </w:p>
    <w:p>
      <w:pPr>
        <w:pStyle w:val="Heading2"/>
      </w:pPr>
      <w:r>
        <w:t>4.1 品牌基准</w:t>
      </w:r>
    </w:p>
    <w:p>
      <w:r>
        <w:t>素材已入库：正式 Logo 原档位于 assets/brand/source/；品牌规范参考为 docs/design/references/kaotings-brand-guidelines.png；当前首页视觉基准为 docs/design/references/kaotings-homepage-approved-reference.png。完整来源与使用规则见 docs/ASSETS.md。此前最终改色稿未取得的缺口已解除；历史 Nexora 紫色稿仅作过程归档。</w:t>
      </w:r>
    </w:p>
    <w:p>
      <w:r>
        <w:t>品牌参考图明确标注：橙 #FF6A00、蓝 #1677FF、青 #00D1E6、白 #F5F7FA、深灰 #1A1D21、极暗背景 #0D0F12。作为 UI 设计变量基线；正式 Logo 保留原档颜色，不因 UI 色值而重新着色。图中的产品及文案为视觉示意，真实产品资料另行核实。按规划实现功能，不自动加入效果图中的搜索或轮播；不以整张截图替代真实网页。</w:t>
      </w:r>
    </w:p>
    <w:p>
      <w:r>
        <w:t>使用考町科技 / KAOTINGS 的正式 Logo 和橙、蓝、青品牌体系。最终视觉以原讨论中第四版改色方向为基准：深色、克制、大留白、产品导向。采用 Linear 式层级与节奏原则，形成自己的品牌表达。历史示例中的 Nexora、紫色主视觉和以 TTS 为首页主体的方案不作为本版内容。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31"/>
        <w:gridCol w:w="4831"/>
      </w:tblGrid>
      <w:tr>
        <w:trPr>
          <w:cantSplit/>
          <w:tblHeader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设计项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实施要求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背景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近黑与深灰分层，以参考图 #0D0F12 为页面背景基线；避免满页渐变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正文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近白主文字、清晰灰色辅助文字；实际对比度需验证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品牌橙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主要品牌强调和关键行动；少量使用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品牌蓝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技术信息、链接与交互反馈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品牌青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AI Lab 或辅助状态点缀；避免与蓝、橙同时争抢视觉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精确色值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采用本节列出的参考图标注色值；Logo 保留原档填色，区分 UI 规范与原档颜色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产品图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真实、干净的产品静物图；不依赖烟雾、山石和夸张灯光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组件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共用字体、按钮、圆角、间距、边框、图标和焦点样式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动效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轻量反馈；尊重减少动效设置；不阻碍阅读和操作</w:t>
            </w:r>
          </w:p>
        </w:tc>
      </w:tr>
    </w:tbl>
    <w:p>
      <w:pPr>
        <w:spacing w:after="20"/>
      </w:pPr>
    </w:p>
    <w:p>
      <w:pPr>
        <w:pStyle w:val="Heading2"/>
      </w:pPr>
      <w:r>
        <w:t>4.2 页面节奏</w:t>
      </w:r>
    </w:p>
    <w:p>
      <w:r>
        <w:t>首页顺序为：导航 → 公司主张和一件代表产品 → 精选产品 → 简洁技术能力 → AI Lab / Text to Speech 入口 → 公司简介与联系 → 页脚。每屏突出一个重点，产品数量少时正常留白，不虚构统计、客户、认证、新闻或产品。</w:t>
      </w:r>
    </w:p>
    <w:p>
      <w:r>
        <w:t>首页不放完整 TTS 文本框、参数面板和播放器，不采用商城式密集产品卡墙。导航的登录或账户入口保持轻量。公司主张可暂用“连接技术与日常。”，正式上线文案与真实产品资料一起确认。</w:t>
      </w:r>
    </w:p>
    <w:p>
      <w:r>
        <w:t>TTS 页面沿用品牌，但提高信息密度：桌面端文本与参数分区，结果和历史清晰呈现；移动端按输入、参数、生成、播放、历史依次排列。所有页面包含加载、空状态、错误、禁用和键盘焦点状态，不能仅用颜色表示成功或失败。</w:t>
      </w:r>
    </w:p>
    <w:p>
      <w:pPr>
        <w:pStyle w:val="Heading1"/>
      </w:pPr>
      <w:r>
        <w:t>5. 用户、会员与管理员能力</w:t>
      </w:r>
    </w:p>
    <w:p>
      <w:pPr>
        <w:pStyle w:val="Heading2"/>
      </w:pPr>
      <w:r>
        <w:t>5.1 Role 与 Plan</w:t>
      </w:r>
    </w:p>
    <w:p>
      <w:r>
        <w:t>Role 决定管理权限；Plan 决定 TTS 权益。普通用户为 role=user, plan=free；VIP 用户为 role=user, plan=vip；管理员为 role=admin, plan=free/vip。管理员身份不隐含无限额度或自动 VIP。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16"/>
        <w:gridCol w:w="2416"/>
        <w:gridCol w:w="2416"/>
        <w:gridCol w:w="2416"/>
      </w:tblGrid>
      <w:tr>
        <w:trPr>
          <w:cantSplit/>
          <w:tblHeader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能力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普通用户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VIP 用户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管理员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浏览官网与产品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TTS 生成与自己历史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按 free 权益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按 vip 权益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按自身 Plan 权益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自己音频回放、下载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查看自己额度和套餐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支持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查看其他用户基础信息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允许，敏感字段按需脱敏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禁用用户、调整套餐和额度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允许并记录审计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查看全站任务和使用统计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允许</w:t>
            </w:r>
          </w:p>
        </w:tc>
      </w:tr>
      <w:tr>
        <w:trPr>
          <w:cantSplit/>
        </w:trPr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CMS 内容编辑发布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不允许</w:t>
            </w:r>
          </w:p>
        </w:tc>
        <w:tc>
          <w:tcPr>
            <w:tcW w:type="dxa" w:w="2416"/>
          </w:tcPr>
          <w:p>
            <w:pPr>
              <w:spacing w:after="80"/>
            </w:pPr>
            <w:r>
              <w:rPr>
                <w:sz w:val="17"/>
              </w:rPr>
              <w:t>需获 CMS 后台授权</w:t>
            </w:r>
          </w:p>
        </w:tc>
      </w:tr>
    </w:tbl>
    <w:p>
      <w:pPr>
        <w:spacing w:after="20"/>
      </w:pPr>
    </w:p>
    <w:p>
      <w:r>
        <w:t>VIP V1 由管理员人工授予与撤销，支持生效时间、到期时间和原因。到期后恢复 free 有效权益，历史记录保持可查；新任务按提交时生效权益判断。管理员修改套餐不得直接篡改既有消费记录。</w:t>
      </w:r>
    </w:p>
    <w:p>
      <w:pPr>
        <w:pStyle w:val="Heading2"/>
      </w:pPr>
      <w:r>
        <w:t>5.2 账户中心</w:t>
      </w:r>
    </w:p>
    <w:p>
      <w:r>
        <w:t>账户中心展示邮箱、手机号（可为空）、验证状态、账号状态、会员等级、有效期、额度周期、已用、冻结和剩余额度，并提供退出和 TTS 历史入口。修改密码应校验当前密码并撤销其他会话。</w:t>
      </w:r>
    </w:p>
    <w:p>
      <w:r>
        <w:t>第一阶段未接通验证渠道时，邮箱/手机号保持未验证状态，页面如实说明。未经证明的新联系方式不能用作找回密码或敏感操作凭据；联系方式变更及找回密码应待验证渠道完成后开放。</w:t>
      </w:r>
    </w:p>
    <w:p>
      <w:pPr>
        <w:pStyle w:val="Heading2"/>
      </w:pPr>
      <w:r>
        <w:t>5.3 管理后台</w:t>
      </w:r>
    </w:p>
    <w:p>
      <w:r>
        <w:t>• 用户管理：分页、按邮箱/手机号/状态筛选、查看注册和最近登录时间、禁用与恢复。</w:t>
      </w:r>
    </w:p>
    <w:p>
      <w:r>
        <w:t>• 会员管理：查看有效 Plan、授予或撤销 VIP、设置有效期、记录原因和操作者。</w:t>
      </w:r>
    </w:p>
    <w:p>
      <w:r>
        <w:t>• 额度管理：查看周期与流水、增加或减少可用额度；修改必须事务化且记录调整原因，不能造成负可用额度。</w:t>
      </w:r>
    </w:p>
    <w:p>
      <w:r>
        <w:t>• TTS 管理：按用户、状态、时间筛选任务；查看音色、计量、耗时、错误码、任务重试和结算状态；默认不展开完整输入文本。</w:t>
      </w:r>
    </w:p>
    <w:p>
      <w:r>
        <w:t>• 使用统计：任务数、成功/失败数、计量消耗及用户维度汇总；统计来自服务端记录。</w:t>
      </w:r>
    </w:p>
    <w:p>
      <w:r>
        <w:t>• 管理安全：不能禁用或降级最后一个可用管理员；角色变更必须审计。初始管理员由受控初始化建立，注册接口不得接受 admin 权限。</w:t>
      </w:r>
    </w:p>
    <w:p>
      <w:pPr>
        <w:pStyle w:val="Heading1"/>
      </w:pPr>
      <w:r>
        <w:t>6. 注册、登录与认证安全</w:t>
      </w:r>
    </w:p>
    <w:p>
      <w:pPr>
        <w:pStyle w:val="Heading2"/>
      </w:pPr>
      <w:r>
        <w:t>6.1 V1 可用流程</w:t>
      </w:r>
    </w:p>
    <w:p>
      <w:r>
        <w:t>注册：输入邮箱与密码 → 服务端规范化邮箱并校验格式、密码和唯一性 → 建立 active 用户，role=user、plan=free、验证字段为 false → 建立默认额度账户 → 跳转登录 → 登录后进入原目标页面或 /account。</w:t>
      </w:r>
    </w:p>
    <w:p>
      <w:r>
        <w:t>登录：校验账号、密码、状态及限流 → 建立可撤销会话 → 更新 last_login_at → 返回当前用户公开资料。密码错误和账号不存在使用统一失败提示。禁用账户不得新登录；已登录账户在下一次受保护请求时失效。</w:t>
      </w:r>
    </w:p>
    <w:p>
      <w:r>
        <w:t>密码采用成熟库进行自适应加盐哈希，实施基线选用 Argon2id；具体成本经部署环境测试确定。密码原文、password_hash、会话令牌与验证码不得进入 API 响应、日志或 CMS。</w:t>
      </w:r>
    </w:p>
    <w:p>
      <w:r>
        <w:t>默认使用服务端可撤销的不透明会话，浏览器通过 Secure、HttpOnly、SameSite Cookie 持有会话标识；服务端保存令牌摘要、过期和撤销信息。全站 HTTPS；Cookie 设置明确 Path、有效期和范围，避免跨子域泛发。退出撤销当前会话，修改密码撤销其他会话。</w:t>
      </w:r>
    </w:p>
    <w:p>
      <w:r>
        <w:t>对于 Cookie 认证的写操作，落实 CSRF 防护和 Origin 校验；服务端逐接口校验权限、账号状态及资源归属。页面隐藏按钮不构成授权。登录后跳转仅接受站内允许路径，防止开放重定向。</w:t>
      </w:r>
    </w:p>
    <w:p>
      <w:pPr>
        <w:pStyle w:val="Heading2"/>
      </w:pPr>
      <w:r>
        <w:t>6.2 邮箱与短信验证预留</w:t>
      </w:r>
    </w:p>
    <w:p>
      <w:r>
        <w:t>抽象 VerificationService 与 EmailSender/SmsSender，统一支持 purpose、channel、目标联系方式、用户或注册上下文、过期时间、尝试次数、发送频率和一次性消费状态。</w:t>
      </w:r>
    </w:p>
    <w:p>
      <w:r>
        <w:t>后续验证流程：请求发送 → 校验频率和用途 → 建立短期挑战 → 发送渠道实际成功后返回通用受理结果 → 提交验证码 → 校验摘要、有效期、次数和绑定目标 → 原子消费 → 更新对应 verified 字段。验证码只存摘要；短验证码应采用带服务端密钥的摘要方案，避免离线穷举。重发使旧挑战失效。</w:t>
      </w:r>
    </w:p>
    <w:p>
      <w:r>
        <w:t>用途区分注册验证、绑定联系方式、修改联系方式、找回密码；不同用途和目标的验证码不能互用。设置 EMAIL_VERIFICATION_REQUIRED、PHONE_VERIFICATION_REQUIRED 及发送渠道开关，默认第一阶段均不强制验证。渠道未配置时接口返回明确的功能未启用状态，不生成假验证成功结果；未来开启强制验证时提供存量账户补验流程。</w:t>
      </w:r>
    </w:p>
    <w:p>
      <w:pPr>
        <w:pStyle w:val="Heading2"/>
      </w:pPr>
      <w:r>
        <w:t>6.3 防滥用要求</w:t>
      </w:r>
    </w:p>
    <w:p>
      <w:r>
        <w:t>注册、登录、验证码、TTS 提交分别实施 IP 与用户/标识维度限流。未验证用户也必须受额度、文本长度、并发和频率约束。错误提示不泄露系统内部细节；秘密配置只在服务端注入。生产环境不启用公开调试接口。</w:t>
      </w:r>
    </w:p>
    <w:p>
      <w:pPr>
        <w:pStyle w:val="Heading1"/>
      </w:pPr>
      <w:r>
        <w:t>7. 技术架构与模块边界</w:t>
      </w:r>
    </w:p>
    <w:p>
      <w:r>
        <w:t>延续原规划的技术方向：Next.js + TypeScript + Tailwind 构建网站；Payload CMS 管理内容；FastAPI 承担用户、权益、任务、限流和 TTS 代理；PostgreSQL 持久化；Redis 支撑限流及轻量任务协调；MinIO 或 S3 兼容存储保存音频；继续调用现有 TTS API。具体版本在 Phase 0 审计后固定，本文不假定当前仓库已具备这些组件。</w:t>
      </w:r>
    </w:p>
    <w:p>
      <w:pPr>
        <w:spacing w:after="0"/>
      </w:pPr>
      <w:r>
        <w:rPr>
          <w:sz w:val="16"/>
        </w:rPr>
        <w:t>浏览器</w:t>
      </w:r>
    </w:p>
    <w:p>
      <w:pPr>
        <w:spacing w:after="0"/>
      </w:pPr>
      <w:r>
        <w:rPr>
          <w:sz w:val="16"/>
        </w:rPr>
        <w:t xml:space="preserve">  └─ HTTPS → 反向代理 / 同源入口</w:t>
      </w:r>
    </w:p>
    <w:p>
      <w:pPr>
        <w:spacing w:after="0"/>
      </w:pPr>
      <w:r>
        <w:rPr>
          <w:sz w:val="16"/>
        </w:rPr>
        <w:t xml:space="preserve">       ├─ 官网页面、/tts、/account → Next.js</w:t>
      </w:r>
    </w:p>
    <w:p>
      <w:pPr>
        <w:spacing w:after="0"/>
      </w:pPr>
      <w:r>
        <w:rPr>
          <w:sz w:val="16"/>
        </w:rPr>
        <w:t xml:space="preserve">       ├─ /api/v1/* → FastAPI 业务层</w:t>
      </w:r>
    </w:p>
    <w:p>
      <w:pPr>
        <w:spacing w:after="0"/>
      </w:pPr>
      <w:r>
        <w:rPr>
          <w:sz w:val="16"/>
        </w:rPr>
        <w:t xml:space="preserve">       │    ├─ PostgreSQL：账户、权益、任务、额度流水</w:t>
      </w:r>
    </w:p>
    <w:p>
      <w:pPr>
        <w:spacing w:after="0"/>
      </w:pPr>
      <w:r>
        <w:rPr>
          <w:sz w:val="16"/>
        </w:rPr>
        <w:t xml:space="preserve">       │    ├─ Redis：限流、任务协调</w:t>
      </w:r>
    </w:p>
    <w:p>
      <w:pPr>
        <w:spacing w:after="0"/>
      </w:pPr>
      <w:r>
        <w:rPr>
          <w:sz w:val="16"/>
        </w:rPr>
        <w:t xml:space="preserve">       │    └─ Worker → 内部现有 TTS API → 私有音频存储</w:t>
      </w:r>
    </w:p>
    <w:p>
      <w:pPr>
        <w:spacing w:after="0"/>
      </w:pPr>
      <w:r>
        <w:rPr>
          <w:sz w:val="16"/>
        </w:rPr>
        <w:t xml:space="preserve">       └─ /cms → Payload CMS → 独立内容 schema/database</w:t>
      </w:r>
    </w:p>
    <w:p>
      <w:r>
        <w:t>官网与 CMS 可在同一代码仓库并部署；业务身份由 FastAPI 统一负责，避免 Next.js 与 FastAPI 各自维护一套用户与额度规则。Next.js 如设置 BFF，仅转发或服务页面，不重复计费与权限决策。</w:t>
      </w:r>
    </w:p>
    <w:p>
      <w:r>
        <w:t>CMS 管内容，程序控制设计。CMS 与业务库可以共用 PostgreSQL 实例，但分 schema/database 与数据库账号，各自负责迁移。CMS 后台使用独立管理会话且仅开放给受控管理员；不得让普通用户注册自动获得 CMS 编辑权限。后续如做统一登录，应单独实现身份映射，不能共享明文密码或直接绕过 CMS 授权。</w:t>
      </w:r>
    </w:p>
    <w:p>
      <w:r>
        <w:t>V1 任务采用持久化任务表加轻量 Worker；Redis 可用于队列通知，数据库任务记录为恢复依据。不在 Web 请求进程里运行不可恢复的长时任务；服务重启后可找回待处理和超时任务。</w:t>
      </w:r>
    </w:p>
    <w:p>
      <w:pPr>
        <w:pStyle w:val="Heading1"/>
      </w:pPr>
      <w:r>
        <w:t>8. 数据模型</w:t>
      </w:r>
    </w:p>
    <w:p>
      <w:r>
        <w:t>以下为逻辑模型。主键统一使用 UUID 或等效不可预测标识；时间使用 UTC 存储并明确展示时区。金额、自动支付与完整订阅订单模型不在 V1 实现范围。</w:t>
      </w:r>
    </w:p>
    <w:p>
      <w:pPr>
        <w:pStyle w:val="Heading2"/>
      </w:pPr>
      <w:r>
        <w:t>8.1 User 与认证模型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User 字段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类型/约束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用途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id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UUID，主键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用户标识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email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可空、规范化后唯一；V1 注册必填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邮箱登录；为后续手机注册允许空值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phone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可空、规范化后唯一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预留手机号；统一国际号码格式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password_hash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非空字符串，V1 密码账户必需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密码哈希；未来无密码账户另设约束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enum user/admin，默认 user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管理权限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plan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enum free/vip，默认 free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当前会员配置，服务端维护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status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enum active/disabled，默认 active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账户使用状态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email_verified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boolean，默认 false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邮箱验证状态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phone_verified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boolean，默认 false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手机验证状态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created_at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UTC timestamp，非空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注册时间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updated_at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UTC timestamp，非空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修改时间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last_login_at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UTC timestamp，可空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最近成功登录时间</w:t>
            </w:r>
          </w:p>
        </w:tc>
      </w:tr>
    </w:tbl>
    <w:p>
      <w:pPr>
        <w:spacing w:after="20"/>
      </w:pPr>
    </w:p>
    <w:p>
      <w:r>
        <w:t>约束：至少存在 email 或 phone；空字符串转换为空值；采用明确的邮箱规范化规则且不随意删除加号别名或点号；唯一性由数据库保证。verified=true 必须对应当前联系方式的有效验证结果。客户端提交的 role、plan、status、verified 字段一律不能通过注册或普通资料接口写入。</w:t>
      </w:r>
    </w:p>
    <w:p>
      <w:r>
        <w:t>Session：id、user_id、token_hash、created_at、expires_at、revoked_at、last_seen_at，必要时保存脱敏设备信息。VerificationChallenge：id、user_id（可空）、channel、purpose、target、code_digest、expires_at、attempt_count、consumed_at、created_at。</w:t>
      </w:r>
    </w:p>
    <w:p>
      <w:pPr>
        <w:pStyle w:val="Heading2"/>
      </w:pPr>
      <w:r>
        <w:t>8.2 会员、额度与审计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实体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核心字段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PlanPolicy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code=free/vip、period_limit、max_text_length、max_concurrency、rate_limit、allowed_voices、version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权益配置版本化，具体值上线前确定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MembershipGrant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id、user_id、plan、starts_at、expires_at、revoked_at、created_by、reason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V1 人工会员记录；不允许重叠生效的 VIP 授权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QuotaAccount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id、user_id、period_start/end、limit_snapshot、adjustment、used、reserved、version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每用户每周期唯一；余额事务化更新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UsageRecord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id、user_id、task_id、quota_account_id、type、amount、idempotency_key、created_at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类型 reserve/consume/release/adjust；流水不可覆盖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AdminAuditLog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id、actor_id、action、target_type/id、before/after、reason、created_at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套餐、权限、禁用、额度调整留痕；不写秘密</w:t>
            </w:r>
          </w:p>
        </w:tc>
      </w:tr>
    </w:tbl>
    <w:p>
      <w:pPr>
        <w:spacing w:after="20"/>
      </w:pPr>
    </w:p>
    <w:p>
      <w:r>
        <w:t>User.plan 由会员服务维护；读取有效权益时同时检查授权生效、撤销与过期，定时任务同步缓存字段，不能仅信任过时 plan 值。普通注册不得创建 VIP 授权。</w:t>
      </w:r>
    </w:p>
    <w:p>
      <w:r>
        <w:t>默认计量为提交文本的 Unicode 码点数，空白和标点计入，先规范化换行、不做暗中截断；若现有服务另有计量要求，在 Phase 0 固化计量函数并让前后端共用口径。额度周期默认 UTC 自然月；界面显示明确起止时间。</w:t>
      </w:r>
    </w:p>
    <w:p>
      <w:r>
        <w:t>可用额度 = 周期基础额度 + 管理调整 − 已用 − 冻结。接收任务时原子冻结，音频成功持久化后转为消费，失败时释放。重新播放、下载不扣生成额度。任务跨周期完成时结算回原冻结周期。套餐切换由服务重新计算当前周期上限并记录差额，保留已用和冻结；降级后的新增可用额度最低为零，不追回已完成任务。</w:t>
      </w:r>
    </w:p>
    <w:p>
      <w:pPr>
        <w:pStyle w:val="Heading2"/>
      </w:pPr>
      <w:r>
        <w:t>8.3 TTS 数据模型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31"/>
        <w:gridCol w:w="4831"/>
      </w:tblGrid>
      <w:tr>
        <w:trPr>
          <w:cantSplit/>
          <w:tblHeader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实体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核心字段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TTSVoice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id、provider_voice_id、name、language、description、enabled、supported_parameters、allowed_plans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TTSTask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id、user_id、text、text_length、voice_id、parameters、status、provider_task_id、idempotency_key、request_hash、policy_version、quota_account_id、reserved_amount、error_code、attempt_count、created_at、started_at、finished_at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AudioFile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id、task_id、owner_id、storage_key、mime_type、size_bytes、duration_ms、checksum、created_at、expires_at、status</w:t>
            </w:r>
          </w:p>
        </w:tc>
      </w:tr>
    </w:tbl>
    <w:p>
      <w:pPr>
        <w:spacing w:after="20"/>
      </w:pPr>
    </w:p>
    <w:p>
      <w:r>
        <w:t>关系：User 一对多 MembershipGrant、Session、QuotaAccount、TTSTask；TTSTask 关联 UsageRecord 与 AudioFile；AudioFile 的 owner_id 必须与任务 user_id 一致。历史按 user_id + created_at 索引查询，任务扫描按 status + updated_at 建索引；同用户 idempotency_key 唯一。</w:t>
      </w:r>
    </w:p>
    <w:p>
      <w:r>
        <w:t>原始文本和音频属于用户私有数据，业务日志默认只记录长度与任务 ID。保存期限配置化，在 UI 显示；音频过期时保留必要任务元信息并明确标记无法回放。V1 默认不对普通用户开放跨账户资源访问。</w:t>
      </w:r>
    </w:p>
    <w:p>
      <w:pPr>
        <w:pStyle w:val="Heading2"/>
      </w:pPr>
      <w:r>
        <w:t>8.4 CMS 内容模型</w:t>
      </w:r>
    </w:p>
    <w:p>
      <w:r>
        <w:t>Product：id、name、slug（唯一）、category、summary、description、cover、gallery、features、specs、applications、faq、cta、seo_title、seo_description、status、sort_order、featured、published_at、created_at、updated_at。</w:t>
      </w:r>
    </w:p>
    <w:p>
      <w:r>
        <w:t>SiteSettings：品牌名称、Logo 深浅底版本、导航、页脚、联系方式、公司介绍与基础 SEO。HomeContent：公司主张、说明、精选产品、技术能力及 AI Lab 文案。Media：文件、类型、尺寸、替代文本和用途。News/Case 保留未来模型方向，不强制建设空栏目。</w:t>
      </w:r>
    </w:p>
    <w:p>
      <w:r>
        <w:t>产品模板顺序：Hero → 产品介绍 → 核心优势 → 规格 → 应用场景 → 图片/视频 → FAQ → CTA。字段可选时隐藏空模块；运营编辑内容而非任意 HTML 或布局代码。</w:t>
      </w:r>
    </w:p>
    <w:p>
      <w:pPr>
        <w:pStyle w:val="Heading1"/>
      </w:pPr>
      <w:r>
        <w:t>9. 业务 API 与安全代理</w:t>
      </w:r>
    </w:p>
    <w:p>
      <w:r>
        <w:t>对外统一前缀 /api/v1，默认同源访问。以下为目标契约，现有推理服务接口由适配层映射；不要求底层 TTS 改名或重写。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方法与路径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功能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授权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/auth/register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邮箱密码注册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公开、限流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/auth/login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登录并设置 Cookie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公开、限流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/auth/logout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撤销会话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/auth/me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当前用户公开资料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/auth/password/change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校验旧密码后改密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/auth/verification/send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验证挑战发送预留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按用途与开关控制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/auth/verification/confirm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一次性验证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按用途与开关控制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/account/usage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周期、已用、冻结、剩余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/tts/voices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可用音色和参数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可公开安全元数据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/tts/tasks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创建任务，返回 202 与 task_id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登录、限流、额度与并发校验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/tts/tasks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当前用户分页历史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当前用户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/tts/tasks/{id}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状态与结果元数据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任务所有者或授权管理员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/tts/tasks/{id}/audio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受控播放或短期签名地址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同上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/tts/tasks/{id}/download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受控下载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同上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/admin/users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用户分页查询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PATCH /admin/users/{id}/status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禁用/恢复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admin，审计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PUT /admin/users/{id}/membership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设置/撤销 VIP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admin，审计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POST /admin/users/{id}/quota-adjustments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幂等额度调整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admin，审计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/admin/tts/tasks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全站任务查询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GET /admin/usage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使用统计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admin</w:t>
            </w:r>
          </w:p>
        </w:tc>
      </w:tr>
    </w:tbl>
    <w:p>
      <w:pPr>
        <w:spacing w:after="20"/>
      </w:pPr>
    </w:p>
    <w:p>
      <w:r>
        <w:t>所有响应只包含所需字段；失败统一包含 error.code、message、request_id。至少区分未登录、无权限、账号禁用、参数错误、额度不足、限流、上游不可用、任务失败和音频过期。HTTP 状态语义明确；限流返回重试提示。</w:t>
      </w:r>
    </w:p>
    <w:p>
      <w:r>
        <w:t>代理仅允许配置中的 TTS 主机与端点，禁止把用户传入 URL 作为请求目标。限制文本长度、音色和参数范围、响应大小及超时。上游密钥、内部地址、模型路径和堆栈不返回浏览器。服务间使用独立凭据；跨机器通过受控私网或加密通道访问。</w:t>
      </w:r>
    </w:p>
    <w:p>
      <w:pPr>
        <w:pStyle w:val="Heading1"/>
      </w:pPr>
      <w:r>
        <w:t>10. TTS 完整业务流程</w:t>
      </w:r>
    </w:p>
    <w:p>
      <w:r>
        <w:t>1. 用户浏览 /tts，未登录时可查看说明和界面；点击生成进入登录，文本草稿如需暂存应明确只在本机短期保留。</w:t>
      </w:r>
    </w:p>
    <w:p>
      <w:r>
        <w:t>2. 登录后拉取有效 Plan、额度、音色和参数范围，展示文本计数及本次预计消耗。</w:t>
      </w:r>
    </w:p>
    <w:p>
      <w:r>
        <w:t>3. 提交文本、音色、参数与幂等键。服务端重新校验用户状态、资源权益、长度、频率与并发。</w:t>
      </w:r>
    </w:p>
    <w:p>
      <w:r>
        <w:t>4. 在数据库事务中建立 queued 任务并冻结额度，再通知 Worker；事务失败不派发任务。</w:t>
      </w:r>
    </w:p>
    <w:p>
      <w:r>
        <w:t>5. Worker 原子领取任务、写入运行租约，调用内部 TTS API。浏览器通过轮询任务状态获知排队或生成进度。</w:t>
      </w:r>
    </w:p>
    <w:p>
      <w:r>
        <w:t>6. 成功后校验音频并写入私有存储，登记 AudioFile；在事务内将任务置为 succeeded，并将冻结转为实际消费。</w:t>
      </w:r>
    </w:p>
    <w:p>
      <w:r>
        <w:t>7. 返回结果元信息；用户可立即播放或下载。刷新页面后仍能从历史定位任务，历史支持分页和状态显示。</w:t>
      </w:r>
    </w:p>
    <w:p>
      <w:r>
        <w:t>8. 失败则记明确错误码并释放冻结额度；前端保留输入以便用户新建任务重试。再次生成属于新任务并重新计量。</w:t>
      </w:r>
    </w:p>
    <w:p>
      <w:pPr>
        <w:pStyle w:val="Heading2"/>
      </w:pPr>
      <w:r>
        <w:t>10.1 状态与一致性</w:t>
      </w:r>
    </w:p>
    <w:p>
      <w:r>
        <w:t>任务状态为 queued → running → succeeded/failed。上游超时但是否生成成功不明时，暂处 running 并标记待核对，先按 provider_task_id 查询；超过处理期限后终结失败并释放。终结后收到的迟到结果不得再次扣费，按清理策略处理孤立音频。</w:t>
      </w:r>
    </w:p>
    <w:p>
      <w:r>
        <w:t>同幂等键和同请求返回原任务；同键不同请求返回冲突。Worker 重复投递、响应丢失与进程重启均不得重复结算。上游不支持幂等时，不能无条件自动重试不确定的生成请求。设置最大重试次数、运行租约和对账任务，发现过期冻结需根据真实任务状态处理。</w:t>
      </w:r>
    </w:p>
    <w:p>
      <w:r>
        <w:t>音频对象采用私有桶和不可预测的 storage_key。回放和下载首先校验身份与归属；可由业务层流式输出，或签发短期 URL。对象过期或删除时给出可理解提示，不能暴露内部路径。再次播放与下载原音频不触发推理和额度扣减。</w:t>
      </w:r>
    </w:p>
    <w:p>
      <w:pPr>
        <w:pStyle w:val="Heading1"/>
      </w:pPr>
      <w:r>
        <w:t>11. CMS 发布、SEO 与内容维护</w:t>
      </w:r>
    </w:p>
    <w:p>
      <w:r>
        <w:t>CMS 必须实现新增产品、上传媒体、填写结构化内容、草稿预览、发布和下架。发布后刷新或失效对应缓存，使列表与详情按一致状态展示；下架内容不得继续通过公共内容 API 或站点地图泄露，草稿预览凭据短期有效。</w:t>
      </w:r>
    </w:p>
    <w:p>
      <w:r>
        <w:t>官网具备页面 title、description、语义化标题、图片 alt、canonical、sitemap、robots 与友好 404。用户账户、TTS 历史、管理后台和预览页面不被索引，也不能仅靠 robots 保护隐私。</w:t>
      </w:r>
    </w:p>
    <w:p>
      <w:r>
        <w:t>媒体上传限制文件类型、尺寸和大小，校验实际内容；富文本按允许规则渲染并防止脚本注入。CMS 只保存内容配置，不允许上传执行代码。联系方式以已确认内容为准；V1 可直接展示电话、邮箱等，无需为占位联系表单引入不必要后端。</w:t>
      </w:r>
    </w:p>
    <w:p>
      <w:pPr>
        <w:pStyle w:val="Heading1"/>
      </w:pPr>
      <w:r>
        <w:t>12. 部署与运维</w:t>
      </w:r>
    </w:p>
    <w:p>
      <w:pPr>
        <w:pStyle w:val="Heading2"/>
      </w:pPr>
      <w:r>
        <w:t>12.1 网络与服务</w:t>
      </w:r>
    </w:p>
    <w:p>
      <w:r>
        <w:t>以单站点、少量服务为 V1 部署起点，使用可复现容器配置或等效进程管理。反向代理可采用 Nginx 或 Caddy，Phase 0 结合现有环境固定其一。公网应用入口仅 80/443，80 跳转 HTTPS；运维入口另行限制来源。</w:t>
      </w:r>
    </w:p>
    <w:p>
      <w:r>
        <w:t>TTS 原服务端口保留内部使用，不面向公网。数据库、Redis、Worker、对象存储管理端和内部 TTS 均位于受限网络。同机可绑定回环地址；跨机只接受指定业务端访问。不能用“换一个子域名”代替真正关闭裸端口。</w:t>
      </w:r>
    </w:p>
    <w:p>
      <w:pPr>
        <w:pStyle w:val="Heading2"/>
      </w:pPr>
      <w:r>
        <w:t>12.2 配置与存储</w:t>
      </w:r>
    </w:p>
    <w:p>
      <w:r>
        <w:t>分别管理开发、测试、生产配置。配置至少覆盖数据库、Redis、TTS 内部地址和凭据、对象存储、会话有效期、限流、PlanPolicy、任务超时、音频保留期、邮件/短信开关。提供不含秘密的示例配置，生产密钥不得提交 Git 或带入前端构建。</w:t>
      </w:r>
    </w:p>
    <w:p>
      <w:r>
        <w:t>数据库和音频使用持久卷或外部服务，不能依赖容器临时目录。备份包含业务库、CMS 库和必要对象文件；形成备份保留与恢复演练记录。部署前执行兼容迁移并备份，回滚需同时考虑数据库结构，禁止直接运行破坏性降级。</w:t>
      </w:r>
    </w:p>
    <w:p>
      <w:pPr>
        <w:pStyle w:val="Heading2"/>
      </w:pPr>
      <w:r>
        <w:t>12.3 监控与故障处理</w:t>
      </w:r>
    </w:p>
    <w:p>
      <w:r>
        <w:t>监控网站与 API 健康、任务排队/耗时/失败率、上游可用性、数据库与存储空间、额度冻结异常、登录失败和限流。统一 request_id/task_id 关联日志，不记录密码、令牌、验证码和完整用户文本。</w:t>
      </w:r>
    </w:p>
    <w:p>
      <w:r>
        <w:t>关闭 TTS 公网裸端口前先验证业务代理联通，并安排切换窗口；验证外网无法绕过业务鉴权调用推理服务。准备应用回滚、任务恢复、额度对账和存储恢复操作说明。</w:t>
      </w:r>
    </w:p>
    <w:p>
      <w:pPr>
        <w:pStyle w:val="Heading1"/>
      </w:pPr>
      <w:r>
        <w:t>13. 项目组织与开发阶段</w:t>
      </w:r>
    </w:p>
    <w:p>
      <w:pPr>
        <w:pStyle w:val="Heading2"/>
      </w:pPr>
      <w:r>
        <w:t>13.1 目录规划</w:t>
      </w:r>
    </w:p>
    <w:p>
      <w:pPr>
        <w:spacing w:after="0"/>
      </w:pPr>
      <w:r>
        <w:rPr>
          <w:sz w:val="16"/>
        </w:rPr>
        <w:t>E:\RD\Kaotings\www_site</w:t>
      </w:r>
    </w:p>
    <w:p>
      <w:pPr>
        <w:spacing w:after="0"/>
      </w:pPr>
      <w:r>
        <w:rPr>
          <w:sz w:val="16"/>
        </w:rPr>
        <w:t>├─ apps/web/            官网页面、TTS、账户和管理界面（建议）</w:t>
      </w:r>
    </w:p>
    <w:p>
      <w:pPr>
        <w:spacing w:after="0"/>
      </w:pPr>
      <w:r>
        <w:rPr>
          <w:sz w:val="16"/>
        </w:rPr>
        <w:t>├─ services/api/        用户、权益、任务与代理（建议）</w:t>
      </w:r>
    </w:p>
    <w:p>
      <w:pPr>
        <w:spacing w:after="0"/>
      </w:pPr>
      <w:r>
        <w:rPr>
          <w:sz w:val="16"/>
        </w:rPr>
        <w:t>├─ services/worker/     任务执行（可与 API 共享包）</w:t>
      </w:r>
    </w:p>
    <w:p>
      <w:pPr>
        <w:spacing w:after="0"/>
      </w:pPr>
      <w:r>
        <w:rPr>
          <w:sz w:val="16"/>
        </w:rPr>
        <w:t>├─ packages/            共用类型与设计规范（按需）</w:t>
      </w:r>
    </w:p>
    <w:p>
      <w:pPr>
        <w:spacing w:after="0"/>
      </w:pPr>
      <w:r>
        <w:rPr>
          <w:sz w:val="16"/>
        </w:rPr>
        <w:t>├─ infra/               部署、反向代理、示例配置</w:t>
      </w:r>
    </w:p>
    <w:p>
      <w:pPr>
        <w:spacing w:after="0"/>
      </w:pPr>
      <w:r>
        <w:rPr>
          <w:sz w:val="16"/>
        </w:rPr>
        <w:t>└─ docs/</w:t>
      </w:r>
    </w:p>
    <w:p>
      <w:pPr>
        <w:spacing w:after="0"/>
      </w:pPr>
      <w:r>
        <w:rPr>
          <w:sz w:val="16"/>
        </w:rPr>
        <w:t xml:space="preserve">   ├─ V1_PLAN.md</w:t>
      </w:r>
    </w:p>
    <w:p>
      <w:pPr>
        <w:spacing w:after="0"/>
      </w:pPr>
      <w:r>
        <w:rPr>
          <w:sz w:val="16"/>
        </w:rPr>
        <w:t xml:space="preserve">   ├─ AUDIT.md</w:t>
      </w:r>
    </w:p>
    <w:p>
      <w:pPr>
        <w:spacing w:after="0"/>
      </w:pPr>
      <w:r>
        <w:rPr>
          <w:sz w:val="16"/>
        </w:rPr>
        <w:t xml:space="preserve">   ├─ API_CONTRACT.md</w:t>
      </w:r>
    </w:p>
    <w:p>
      <w:pPr>
        <w:spacing w:after="0"/>
      </w:pPr>
      <w:r>
        <w:rPr>
          <w:sz w:val="16"/>
        </w:rPr>
        <w:t xml:space="preserve">   └─ DEPLOYMENT.md</w:t>
      </w:r>
    </w:p>
    <w:p>
      <w:r>
        <w:t>以上为逻辑组织建议，不是立即移动现有文件的命令。本次已核实新仓库根目录仅有 .git，尚无提交和业务代码。此前在 kts_site 下发现的 KT26-0903_Big-TTS 不属于本仓库，不自动复制；现有推理服务通过接口接入。</w:t>
      </w:r>
    </w:p>
    <w:p>
      <w:pPr>
        <w:pStyle w:val="Heading2"/>
      </w:pPr>
      <w:r>
        <w:t>13.2 阶段、产物与完成条件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阶段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工作与交付物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完成条件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0 现状审计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检查项目规则、Git、目录、框架、页面、依赖、TTS API、部署和品牌素材；输出 AUDIT.md、保留/新增/重构清单及接口事实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明确真实代码位置、已有能力和缺口；不在本阶段改业务代码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1 视觉与官网骨架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设计变量、导航页脚、首页、产品模板、关于和联系、TTS 与账户界面结构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桌面/移动端层级清晰，品牌和产品主次符合第 4 章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2 账户与权益基础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业务库迁移、注册登录退出、会话、Role/Plan、账户页、额度结构、验证服务抽象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用户闭环可用；越权与禁用生效；未配置验证渠道不伪造验证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3 TTS 产品闭环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现有 API 适配、Worker、任务持久化、额度冻结结算、私有音频、历史回放下载、代理安全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完成正常与失败流程；重复请求和重启不重复扣费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4 CMS 与基础管理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产品编辑发布、缓存刷新、媒体、用户管理、VIP 与额度调整、TTS 查看、审计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运营可新增发布产品；管理员可完成本版基础管理操作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Phase 5 集成与上线准备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安全检查、真实上游联调、响应式与可访问性、备份恢复、部署和回滚说明、验收记录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第 14 章必需项通过；实际上线按项目发布安排执行</w:t>
            </w:r>
          </w:p>
        </w:tc>
      </w:tr>
    </w:tbl>
    <w:p>
      <w:pPr>
        <w:spacing w:after="20"/>
      </w:pPr>
    </w:p>
    <w:p>
      <w:r>
        <w:t>测试环境已由用户建立：局域网虚拟机 192.168.199.22，登录用户名 flym。系统、资源、SSH 连通性及依赖尚待实测。访问密码不写入仓库、文档或示例配置。开发根目录为 Windows 新仓库，服务器部署目录在环境审计后确定。</w:t>
      </w:r>
    </w:p>
    <w:p>
      <w:r>
        <w:t>测试环境从 Phase 1 开始持续部署验证：Phase 0 核实服务器系统、资源、网络、现有服务和部署条件；Phase 1 部署官网骨架并确定固定访问入口；Phase 2–4 每阶段更新测试版本，使用独立测试数据与秘密配置；Phase 5 执行完整部署、恢复与发布演练。测试认证流程前配置可信 HTTPS。服务器就绪不等于项目已部署，部署结果必须实际验证。</w:t>
      </w:r>
    </w:p>
    <w:p>
      <w:r>
        <w:t>每阶段汇报完成项、验证结果、剩余问题和下一阶段范围。不得用 Mock 成功替代真实 TTS 联调，不得因开发顺序将用户系统和 CMS 从 V1 交付中移除。以下工作包为阶段执行清单；上表用于总览。</w:t>
      </w:r>
    </w:p>
    <w:p>
      <w:pPr>
        <w:pStyle w:val="Heading2"/>
      </w:pPr>
      <w:r>
        <w:t>13.3 Phase 0：现状审计与实施基线</w:t>
      </w:r>
    </w:p>
    <w:p>
      <w:r>
        <w:t>进入条件：能够读取项目根目录。此阶段只读取工程并输出文档，不修改业务代码、不移动现有目录、不更改线上服务。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读取项目规则，检查 Git 根、分支、未提交变更、目录和已有启动说明；确认现有 TTS 服务的接入边界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AUDIT.md 记录真实路径及现状，区分网站、业务层与推理服务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检查框架、依赖、页面、组件、接口、配置与持久化；列出可复用资产和缺口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每项标记保留、新增或重构，不凭规划推断已有功能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核对现有 TTS 文档或实现，记录请求/响应、音色、参数、鉴权、同步或异步、超时和幂等支持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API_CONTRACT.md 包含脱敏样例、失败语义和适配边界；真实调用测试移至获授权的联调环境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盘点 Logo、第四版改色稿、产品图与文案；确认域名、部署拓扑和当前裸端口情况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素材清单及网络现状图；未取得素材明确列为缺口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固定目录落点、兼容版本、数据归属、会话方案、任务方案、CMS 挂载方式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DECISIONS.md 记录选择、依据与限制，明确迁移负责人模块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P0-06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列出额度、并发、超时、保留期等配置和实施依赖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EXECUTION_PLAN.md 按本文工作编号建立待办，产品未定值单独列出</w:t>
            </w:r>
          </w:p>
        </w:tc>
      </w:tr>
    </w:tbl>
    <w:p>
      <w:pPr>
        <w:spacing w:after="20"/>
      </w:pPr>
    </w:p>
    <w:p>
      <w:r>
        <w:t>退出条件：能够说明每个模块在哪里实现、复用什么、接什么接口、如何验证；影响后续工作的缺口已有明确处理办法。缺少真实产品素材不阻止账户基础开发，但不允许将占位素材视为上线内容。工期在审计后按实际缺口估算，本文不预设未经评估的天数。</w:t>
      </w:r>
    </w:p>
    <w:p>
      <w:pPr>
        <w:pStyle w:val="Heading2"/>
      </w:pPr>
      <w:r>
        <w:t>13.4 Phase 1：设计系统与官网页面</w:t>
      </w:r>
    </w:p>
    <w:p>
      <w:r>
        <w:t>进入条件：Phase 0 的工程落点与素材基线明确。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建立品牌色、灰阶、字体、间距、按钮、输入框、焦点和响应式变量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共享样式及基础组件，颜色来源可追溯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实现导航、页脚、移动导航、登录/账户入口及通用页面容器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所有目标页面可导航，无断链和横向溢出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实现首页 Hero、精选产品、技术能力、AI Lab 入口及公司联系区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蓝牙与硬件是视觉主体，首页不嵌完整 TTS 工作台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实现产品列表、产品详情模板、关于和联系页面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结构化数据驱动；可用本地数据适配器，Phase 4 切换 CMS 时不重写布局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 TTS、登录、注册、账户和管理页面的布局与状态组件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明确区分视觉预览与真实功能；注册和生成不能假成功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P1-06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完成公开页基础 SEO、404、键盘操作和移动端检查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页面标题、层级与主要交互通过检查，形成页面截图和检查记录</w:t>
            </w:r>
          </w:p>
        </w:tc>
      </w:tr>
    </w:tbl>
    <w:p>
      <w:pPr>
        <w:spacing w:after="20"/>
      </w:pPr>
    </w:p>
    <w:p>
      <w:r>
        <w:t>交付物：可运行官网骨架、共享组件、产品模板、页面预览及 docs/phase-1-report.md。退出条件：公开页面和视觉规范可复用；动态认证、生成与后台业务仍须分别在后续阶段验收。</w:t>
      </w:r>
    </w:p>
    <w:p>
      <w:pPr>
        <w:pStyle w:val="Heading2"/>
      </w:pPr>
      <w:r>
        <w:t>13.5 Phase 2：用户认证与权益基础</w:t>
      </w:r>
    </w:p>
    <w:p>
      <w:r>
        <w:t>进入条件：页面骨架可运行，数据库和业务 API 的实现位置已经确定。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建立 User、Session、PlanPolicy、MembershipGrant、QuotaAccount、UsageRecord、VerificationChallenge 和审计模型迁移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开发库可全新初始化，唯一约束与默认权限正确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实现邮箱密码注册、登录、退出、当前用户、改密及可撤销会话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从注册到登录账户页为真实闭环，哈希和令牌不泄露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实现权限检查、账号禁用检查、CSRF、站内跳转校验和认证限流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普通用户不能访问管理接口；失效会话被拒绝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实现有效 Plan 计算、VIP 到期判断、额度周期与余额读取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role/plan 分离；到期不依赖重新登录；账户正确显示已用、冻结和可用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完成账户页、密码修改、验证状态与历史入口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数据来自当前账户；历史可显示真实空状态，待 Phase 3 接入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实现验证服务接口、渠道适配契约、功能开关与挑战消费逻辑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可用测试适配器验证过期和单次消费；生产未接渠道明确返回未启用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P2-07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建立受控管理员初始化及服务层权限、会员、额度调整能力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无公共自助提权入口；操作校验与审计服务可供 Phase 4 管理界面调用</w:t>
            </w:r>
          </w:p>
        </w:tc>
      </w:tr>
    </w:tbl>
    <w:p>
      <w:pPr>
        <w:spacing w:after="20"/>
      </w:pPr>
    </w:p>
    <w:p>
      <w:r>
        <w:t>交付物：数据库迁移、认证接口、可用账户页、权益服务及 docs/phase-2-report.md。退出条件：第 14.2 节与本阶段有关的认证、权限、会员计算和验证预留检查通过；后台操作界面在 Phase 4 完成。</w:t>
      </w:r>
    </w:p>
    <w:p>
      <w:pPr>
        <w:pStyle w:val="Heading2"/>
      </w:pPr>
      <w:r>
        <w:t>13.6 Phase 3：TTS 接入、任务与额度闭环</w:t>
      </w:r>
    </w:p>
    <w:p>
      <w:r>
        <w:t>进入条件：真实认证、用户归属和权益服务可用；具备可访问的联调 TTS 服务及测试额度配置。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建立音色、任务、音频模型与现有 TTS 适配器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不重写推理服务；参数范围和错误映射与真实接口一致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实现任务创建、幂等键、文本校验、用户限流、并发控制和额度冻结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提交与冻结事务一致；同键不同内容返回冲突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 Worker 领取、租约、超时、结果核对和有限重试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任务持久化，进程重启不会丢失任务或盲目重复调用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实现音频校验、私有存储、成功消费、失败释放和异常对账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音频落盘后才标记成功；结算与释放不重复执行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接通工作台输入、参数、提交、轮询、结果和错误恢复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真实生成音频可播放，刷新后任务状态保持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完成自己的分页历史、任务详情、回放、下载和额度刷新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回放下载不扣额度；跨用户资源访问被拒绝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P3-07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验证重复请求、额度争用、上游失败、存储失败、跨周期和重启恢复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有具体测试结果与修复记录，不能仅凭正常路径通过</w:t>
            </w:r>
          </w:p>
        </w:tc>
      </w:tr>
    </w:tbl>
    <w:p>
      <w:pPr>
        <w:spacing w:after="20"/>
      </w:pPr>
    </w:p>
    <w:p>
      <w:r>
        <w:t>交付物：可用 TTS 全流程、内部服务适配、Worker、私有文件访问及 docs/phase-3-report.md。退出条件：第 14.3 节通过，真实上游联调完成；尚未关闭的生产裸端口必须记录为 Phase 5 上线阻断项。</w:t>
      </w:r>
    </w:p>
    <w:p>
      <w:pPr>
        <w:pStyle w:val="Heading2"/>
      </w:pPr>
      <w:r>
        <w:t>13.7 Phase 4：CMS 与业务管理后台</w:t>
      </w:r>
    </w:p>
    <w:p>
      <w:r>
        <w:t>进入条件：官网模板稳定，用户、权益和任务服务已可运行。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配置 Payload、独立内容存储边界和受控 CMS 管理账户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普通业务账户无 CMS 权限，迁移与业务库互不覆盖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 Product、Media、SiteSettings、HomeContent 字段、校验和编辑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运营可填完整产品资料；媒体和富文本通过安全限制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实现草稿、预览、发布、下架和缓存更新；替换本地内容适配器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不改模板即可新增产品；公共接口不泄露草稿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完成用户列表、筛选、详情、禁用和恢复界面与接口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权限由服务端执行，最后一个可用管理员受到保护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 VIP 授予、撤销、到期时间和额度调整操作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展示操作结果；必须填原因；重复提交不重复调整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完成任务查询、使用汇总、失败信息与审计查看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可按用户和时间追溯；默认不展示完整输入文本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P4-07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做运营端到端演练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完成“发布产品”和“处理用户/VIP/额度/任务”两套实际操作记录</w:t>
            </w:r>
          </w:p>
        </w:tc>
      </w:tr>
    </w:tbl>
    <w:p>
      <w:pPr>
        <w:spacing w:after="20"/>
      </w:pPr>
    </w:p>
    <w:p>
      <w:r>
        <w:t>交付物：可操作 CMS、业务管理后台、简要运营说明及 docs/phase-4-report.md。退出条件：内容发布闭环和基础管理能力全部可用，第 14.1、14.2 节相关项目通过。</w:t>
      </w:r>
    </w:p>
    <w:p>
      <w:pPr>
        <w:pStyle w:val="Heading2"/>
      </w:pPr>
      <w:r>
        <w:t>13.8 Phase 5：集成验收与上线准备</w:t>
      </w:r>
    </w:p>
    <w:p>
      <w:r>
        <w:t>进入条件：Phase 1–4 功能完成，正式素材和生产配置已有明确值。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cantSplit/>
          <w:tblHeader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编号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具体工作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交付与完成判定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P5-01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全站联调，验证注册、生成、下载、VIP、管理员和 CMS 的完整用户路径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第 14 章逐项记录通过、失败或阻断，不用笼统“测试通过”代替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P5-02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配置 HTTPS、反向代理、私网、服务凭据与持久卷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测试环境能按部署说明复现；浏览器不直接接触内部端点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P5-03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验证代理通路后形成生产裸端口收回方案，在授权发布窗口实施并外网复测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绕过业务层的推理入口关闭，管理端和数据服务不可公开访问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P5-04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完成数据库、CMS、音频备份与恢复，验证 Worker 重启和额度对账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保存恢复演练记录和异常处置步骤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P5-05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检查越权、CSRF、限流、敏感日志、草稿、音频授权及真实负载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关键安全缺陷清零；性能结果对照 Phase 0 固定的目标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P5-06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完成移动端、键盘可访问性、空状态、错误提示、SEO 和正式内容检查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不存在假联系方式、占位资质和未接通却提示成功的功能</w:t>
            </w:r>
          </w:p>
        </w:tc>
      </w:tr>
      <w:tr>
        <w:trPr>
          <w:cantSplit/>
        </w:trPr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P5-07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整理发布包、配置示例、迁移顺序、回滚方案及运维说明</w:t>
            </w:r>
          </w:p>
        </w:tc>
        <w:tc>
          <w:tcPr>
            <w:tcW w:type="dxa" w:w="3221"/>
          </w:tcPr>
          <w:p>
            <w:pPr>
              <w:spacing w:after="80"/>
            </w:pPr>
            <w:r>
              <w:rPr>
                <w:sz w:val="17"/>
              </w:rPr>
              <w:t>DEPLOYMENT.md、OPERATIONS.md、ACCEPTANCE.md 可直接使用</w:t>
            </w:r>
          </w:p>
        </w:tc>
      </w:tr>
    </w:tbl>
    <w:p>
      <w:pPr>
        <w:spacing w:after="20"/>
      </w:pPr>
    </w:p>
    <w:p>
      <w:r>
        <w:t>交付物：可发布版本、验收矩阵、部署与回滚材料及 docs/phase-5-report.md。上线准备完成与实际上线分开记录；未执行生产发布时不得声称已经上线。涉及真实环境变更时按已授权发布范围执行。</w:t>
      </w:r>
    </w:p>
    <w:p>
      <w:pPr>
        <w:pStyle w:val="Heading2"/>
      </w:pPr>
      <w:r>
        <w:t>13.9 阶段跟踪与范围控制</w:t>
      </w:r>
    </w:p>
    <w:p>
      <w:r>
        <w:t>每个工作包使用未开始、进行中、受阻、已完成四种状态。完成记录包含工作编号、实际产物、验证证据和遗留问题；“界面存在”“字段已建”“用模拟数据跑通”不能代替相应业务闭环。</w:t>
      </w:r>
    </w:p>
    <w:p>
      <w:r>
        <w:t>阶段报告至少包括：本阶段目标、完成的工作编号、代码/文档产物、验证结果、阻断项和下一阶段入口条件。报告是执行记录，不要求每个常规工作包都重复请求用户确认；已授权范围内且依赖满足时继续实施。</w:t>
      </w:r>
    </w:p>
    <w:p>
      <w:r>
        <w:t>缺少某项依赖时先推进不依赖该项的工作；不得将依赖缺失标为功能完成。身份隔离、额度一致性、真实 TTS 接入和私网安全未通过时，不得进入生产上线。新增需求进入变更清单，注明影响的阶段和验收项，避免执行中持续扩充 V1。</w:t>
      </w:r>
    </w:p>
    <w:p>
      <w:pPr>
        <w:pStyle w:val="Heading1"/>
      </w:pPr>
      <w:r>
        <w:t>14. 验收标准</w:t>
      </w:r>
    </w:p>
    <w:p>
      <w:pPr>
        <w:pStyle w:val="Heading2"/>
      </w:pPr>
      <w:r>
        <w:t>14.1 产品与内容</w:t>
      </w:r>
    </w:p>
    <w:p>
      <w:r>
        <w:t>• 官网一眼可识别蓝牙、音频与智能硬件定位；首页 TTS 为轻量入口，完整工具位于 /tts。</w:t>
      </w:r>
    </w:p>
    <w:p>
      <w:r>
        <w:t>• 桌面和移动端布局无横向溢出；导航、文本输入、音色选择、播放器与账户操作可用，键盘可访问关键操作。</w:t>
      </w:r>
    </w:p>
    <w:p>
      <w:r>
        <w:t>• CMS 新建真实产品并发布后，列表和详情正确展示；草稿与下架内容不能通过公共页面/API 被访问；修改 SEO 和媒体后生效。</w:t>
      </w:r>
    </w:p>
    <w:p>
      <w:r>
        <w:t>• 页面没有冒充真实数据的产品、新闻、联系方式和资质占位内容。</w:t>
      </w:r>
    </w:p>
    <w:p>
      <w:pPr>
        <w:pStyle w:val="Heading2"/>
      </w:pPr>
      <w:r>
        <w:t>14.2 用户、会员和安全</w:t>
      </w:r>
    </w:p>
    <w:p>
      <w:r>
        <w:t>• 可用邮箱与密码注册、登录、退出并进入 /account；重复邮箱受数据库唯一约束保护，密码不以明文保存。</w:t>
      </w:r>
    </w:p>
    <w:p>
      <w:r>
        <w:t>• role 仅有 user/admin、plan 仅有 free/vip；伪造注册参数不能成为 VIP 或管理员。</w:t>
      </w:r>
    </w:p>
    <w:p>
      <w:r>
        <w:t>• 普通用户和 VIP 均不能访问管理接口，不能通过猜测任务 ID 读取其他用户文本、历史或音频。</w:t>
      </w:r>
    </w:p>
    <w:p>
      <w:r>
        <w:t>• 管理员可以禁用并恢复用户、授予/撤销 VIP、设置到期时间和调整额度，所有操作带原因并可审计。</w:t>
      </w:r>
    </w:p>
    <w:p>
      <w:r>
        <w:t>• VIP 到期在下一次权益检查时降为 free 有效权益；不依赖用户重新登录，也不依赖定时任务准时运行。</w:t>
      </w:r>
    </w:p>
    <w:p>
      <w:r>
        <w:t>• 退出、禁用与改密后的会话撤销按第 6 章生效；CSRF 和越权请求被拒绝。</w:t>
      </w:r>
    </w:p>
    <w:p>
      <w:r>
        <w:t>• 邮箱和手机号字段及验证状态存在；未接渠道时保持 false，预留流程有功能开关，验证码确认支持一次性消费与超时设计。</w:t>
      </w:r>
    </w:p>
    <w:p>
      <w:pPr>
        <w:pStyle w:val="Heading2"/>
      </w:pPr>
      <w:r>
        <w:t>14.3 TTS 与额度</w:t>
      </w:r>
    </w:p>
    <w:p>
      <w:r>
        <w:t>• 使用真实现有 TTS API 完成生成、结果持久化、刷新后历史查询、再次播放与下载。</w:t>
      </w:r>
    </w:p>
    <w:p>
      <w:r>
        <w:t>• 超长文本、非法音色、无额度与并发超限被服务端拒绝，浏览器修改参数不能绕过规则。</w:t>
      </w:r>
    </w:p>
    <w:p>
      <w:r>
        <w:t>• 两个并发请求争用最后一份额度时最多一个成功冻结；不存在负余额和超额提交。</w:t>
      </w:r>
    </w:p>
    <w:p>
      <w:r>
        <w:t>• 相同幂等键重复提交仅创建一个任务；重复完成通知、Worker 重启和重试不重复消费。</w:t>
      </w:r>
    </w:p>
    <w:p>
      <w:r>
        <w:t>• 上游失败、存储失败及超时终结后，冻结额度按规则释放；成功任务准确消费，跨周期任务回原周期结算。</w:t>
      </w:r>
    </w:p>
    <w:p>
      <w:r>
        <w:t>• 回放和下载不新建生成任务、不扣生成额度；音频过期有清晰状态。</w:t>
      </w:r>
    </w:p>
    <w:p>
      <w:r>
        <w:t>• 后台任务与使用统计可追溯到用户、任务、消费流水和对应音频。</w:t>
      </w:r>
    </w:p>
    <w:p>
      <w:pPr>
        <w:pStyle w:val="Heading2"/>
      </w:pPr>
      <w:r>
        <w:t>14.4 部署与交付</w:t>
      </w:r>
    </w:p>
    <w:p>
      <w:r>
        <w:t>• 外部测试确认推理裸端口、数据库和 Redis 不可公开访问；浏览器只使用受控 HTTPS 业务入口。</w:t>
      </w:r>
    </w:p>
    <w:p>
      <w:r>
        <w:t>• 构建产物与 API 响应无上游密钥、密码哈希和内部地址泄露；私有音频桶无匿名列举能力。</w:t>
      </w:r>
    </w:p>
    <w:p>
      <w:r>
        <w:t>• 按部署文档可启动系统并执行迁移；服务重启后账户、历史、音频和额度仍可用。</w:t>
      </w:r>
    </w:p>
    <w:p>
      <w:r>
        <w:t>• 完成至少一次备份恢复演练和任务异常恢复检查，记录问题与结果。</w:t>
      </w:r>
    </w:p>
    <w:p>
      <w:r>
        <w:t>• 提交实现说明、示例配置、迁移、测试结果、部署和回滚说明。容量目标在 Phase 0 明确后按代表性负载测试，不预先承诺未经测量的并发或时延。</w:t>
      </w:r>
    </w:p>
    <w:p>
      <w:pPr>
        <w:pStyle w:val="Heading1"/>
      </w:pPr>
      <w:r>
        <w:t>15. 实施前需固定的参数与后续演进</w:t>
      </w:r>
    </w:p>
    <w:p>
      <w:pPr>
        <w:pStyle w:val="Heading2"/>
      </w:pPr>
      <w:r>
        <w:t>15.1 Phase 0 决策清单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31"/>
        <w:gridCol w:w="4831"/>
      </w:tblGrid>
      <w:tr>
        <w:trPr>
          <w:cantSplit/>
          <w:tblHeader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事项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本版处理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现有 TTS 协议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核实认证、音色、参数、同步/异步、结果格式、超时与幂等能力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正式品牌素材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确认 Logo 文件、第四版改色稿及精确色值，不重新发散方向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免费/VIP 额度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确定每周期字符数、单次长度、频率、并发和音色差异；配置化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会员期限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V1 人工授予，明确默认期限；不自动开通付费续订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保留与清理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确认原始文本、音频、日志、审计和备份保留期限，形成用户可见说明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部署环境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确认域名、服务器、私网连接、对象存储和备份位置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CMS 授权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明确管理人员及初始化方式，保持业务用户与内容权限隔离</w:t>
            </w:r>
          </w:p>
        </w:tc>
      </w:tr>
      <w:tr>
        <w:trPr>
          <w:cantSplit/>
        </w:trPr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验证渠道</w:t>
            </w:r>
          </w:p>
        </w:tc>
        <w:tc>
          <w:tcPr>
            <w:tcW w:type="dxa" w:w="4831"/>
          </w:tcPr>
          <w:p>
            <w:pPr>
              <w:spacing w:after="80"/>
            </w:pPr>
            <w:r>
              <w:rPr>
                <w:sz w:val="17"/>
              </w:rPr>
              <w:t>V1 第一阶段不强制验证；未来确定邮件/SMS 服务后启用真实流程</w:t>
            </w:r>
          </w:p>
        </w:tc>
      </w:tr>
    </w:tbl>
    <w:p>
      <w:pPr>
        <w:spacing w:after="20"/>
      </w:pPr>
    </w:p>
    <w:p>
      <w:r>
        <w:t>技术审计可自行确定兼容版本、模块组织和迁移实现；涉及额度、素材、保存期限等产品配置应记录采用值与依据。未确定生产配置不得隐含无限额度、永久保存或公开桶。</w:t>
      </w:r>
    </w:p>
    <w:p>
      <w:r>
        <w:t>后续按实际需求扩展：邮件/短信验证与找回密码、手机号登录、第三方登录、在线支付和订单、自动订阅、开放开发者 API、多工具 AI Lab、新闻案例栏目、更细权限和更大规模任务调度。扩展继续沿用用户归属、Role/Plan 分离、业务 API 与推理服务分层。</w:t>
      </w:r>
    </w:p>
    <w:p>
      <w:pPr>
        <w:pStyle w:val="Heading1"/>
      </w:pPr>
      <w:r>
        <w:t>16. Codex 执行交接</w:t>
      </w:r>
    </w:p>
    <w:p>
      <w:r>
        <w:t>以本文为 V1.1 产品与技术基线，仅在 E:\RD\Kaotings\www_site 内实施。第一步读取该目录适用的项目规则并完成 Phase 0 审计，输出当前结构、可复用资产、TTS 接口事实、缺口及分阶段修改方案；此阶段不修改业务代码，不自动导入其他目录的旧工程。</w:t>
      </w:r>
    </w:p>
    <w:p>
      <w:r>
        <w:t>进入实现阶段后按 Phase 1–5 推进。用户体系是 V1 正式交付，不得降级为后续事项；严格采用 role=user/admin、plan=free/vip；保留邮箱与手机验证扩展点；TTS 必须具备归属、历史、回放、下载、额度与管理闭环。官网保持蓝牙、音频和智能硬件主体定位，CMS 管内容，现有 TTS 服务经业务层安全代理访问。</w:t>
      </w:r>
    </w:p>
    <w:p>
      <w:r>
        <w:t>以第 14 章验收用例作为完成依据。实现与本文出现冲突时，先记录差异、影响和拟采用方案；不得以简化为由删除已确认的 V1 功能。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80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V1.1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KAOTINGS  /  考町科技                          产品与技术规划 · V1.1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Microsoft YaHei" w:hAnsi="Microsoft YaHei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486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486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80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17486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考町科技官网暨 AI 工具平台 V1 产品与技术规划书</dc:title>
  <dc:subject>V1.1 · 官网、CMS、用户体系与 TTS 平台</dc:subject>
  <dc:creator>KAOTINGS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